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0EC8" w:rsidRDefault="00890EC8" w:rsidP="00890EC8">
      <w:pPr>
        <w:widowControl w:val="0"/>
        <w:jc w:val="right"/>
        <w:rPr>
          <w:rFonts w:eastAsia="Lucida Sans Unicode"/>
          <w:sz w:val="20"/>
          <w:szCs w:val="20"/>
        </w:rPr>
      </w:pPr>
      <w:r>
        <w:rPr>
          <w:rFonts w:eastAsia="Lucida Sans Unicode"/>
          <w:sz w:val="20"/>
          <w:szCs w:val="20"/>
        </w:rPr>
        <w:t xml:space="preserve">Kecskemét Megyei Jogú Város Önkormányzata Közgyűlése </w:t>
      </w:r>
    </w:p>
    <w:p w:rsidR="00890EC8" w:rsidRDefault="007A4DCA" w:rsidP="00890EC8">
      <w:pPr>
        <w:widowControl w:val="0"/>
        <w:jc w:val="right"/>
        <w:rPr>
          <w:rFonts w:eastAsia="Lucida Sans Unicode"/>
          <w:sz w:val="20"/>
          <w:szCs w:val="20"/>
        </w:rPr>
      </w:pPr>
      <w:r>
        <w:rPr>
          <w:rFonts w:eastAsia="Lucida Sans Unicode"/>
          <w:sz w:val="20"/>
          <w:szCs w:val="20"/>
        </w:rPr>
        <w:t>56</w:t>
      </w:r>
      <w:r w:rsidR="00890EC8">
        <w:rPr>
          <w:rFonts w:eastAsia="Lucida Sans Unicode"/>
          <w:sz w:val="20"/>
          <w:szCs w:val="20"/>
        </w:rPr>
        <w:t>/2020. (VII. 2.) határozata 3. melléklete</w:t>
      </w:r>
    </w:p>
    <w:p w:rsidR="00890EC8" w:rsidRDefault="00890EC8" w:rsidP="00890EC8">
      <w:pPr>
        <w:widowControl w:val="0"/>
        <w:spacing w:line="100" w:lineRule="atLeast"/>
        <w:jc w:val="both"/>
        <w:rPr>
          <w:rFonts w:eastAsia="Lucida Sans Unicode"/>
          <w:kern w:val="2"/>
          <w:szCs w:val="24"/>
        </w:rPr>
      </w:pPr>
    </w:p>
    <w:p w:rsidR="00890EC8" w:rsidRDefault="00890EC8" w:rsidP="00890EC8">
      <w:pPr>
        <w:jc w:val="center"/>
        <w:rPr>
          <w:rFonts w:eastAsia="Times New Roman"/>
          <w:b/>
          <w:i/>
          <w:szCs w:val="24"/>
        </w:rPr>
      </w:pPr>
      <w:r>
        <w:rPr>
          <w:rFonts w:eastAsia="Times New Roman"/>
          <w:b/>
          <w:i/>
          <w:szCs w:val="24"/>
        </w:rPr>
        <w:t>Kecskemét Megyei Jogú Város Önkormányzata Közgyűlése</w:t>
      </w:r>
    </w:p>
    <w:p w:rsidR="00890EC8" w:rsidRDefault="00890EC8" w:rsidP="00890EC8">
      <w:pPr>
        <w:jc w:val="center"/>
        <w:rPr>
          <w:rFonts w:eastAsia="Times New Roman"/>
          <w:b/>
          <w:i/>
          <w:szCs w:val="24"/>
        </w:rPr>
      </w:pPr>
      <w:r>
        <w:rPr>
          <w:rFonts w:eastAsia="Times New Roman"/>
          <w:b/>
          <w:i/>
          <w:szCs w:val="24"/>
        </w:rPr>
        <w:t xml:space="preserve"> (6000 Kecskemét, Kossuth tér 1.)</w:t>
      </w:r>
    </w:p>
    <w:p w:rsidR="00890EC8" w:rsidRDefault="007A4DCA" w:rsidP="00890EC8">
      <w:pPr>
        <w:widowControl w:val="0"/>
        <w:jc w:val="center"/>
        <w:rPr>
          <w:rFonts w:eastAsia="Lucida Sans Unicode"/>
          <w:b/>
          <w:bCs/>
          <w:i/>
          <w:szCs w:val="24"/>
        </w:rPr>
      </w:pPr>
      <w:r>
        <w:rPr>
          <w:rFonts w:eastAsia="Lucida Sans Unicode"/>
          <w:b/>
          <w:bCs/>
          <w:i/>
          <w:szCs w:val="24"/>
        </w:rPr>
        <w:t>56</w:t>
      </w:r>
      <w:r w:rsidR="00890EC8">
        <w:rPr>
          <w:rFonts w:eastAsia="Lucida Sans Unicode"/>
          <w:b/>
          <w:bCs/>
          <w:i/>
          <w:szCs w:val="24"/>
        </w:rPr>
        <w:t>/2020. (VII. 2.) határozata alapján</w:t>
      </w:r>
    </w:p>
    <w:p w:rsidR="00890EC8" w:rsidRDefault="00890EC8" w:rsidP="00890EC8">
      <w:pPr>
        <w:widowControl w:val="0"/>
        <w:jc w:val="center"/>
        <w:rPr>
          <w:rFonts w:eastAsia="Lucida Sans Unicode"/>
          <w:b/>
          <w:i/>
          <w:szCs w:val="24"/>
        </w:rPr>
      </w:pPr>
      <w:r>
        <w:rPr>
          <w:rFonts w:eastAsia="Lucida Sans Unicode"/>
          <w:b/>
          <w:i/>
          <w:szCs w:val="24"/>
        </w:rPr>
        <w:t>Kecskemét Megyei Jogú Város Önkormányzata Közgyűlésének az önkormányzat vagyonáról és a vagyongazdálkodásáról szóló 19/2013. (VI. 27.) önkormányzati rendelete (a továbbiakban: Vagyonrendelet) 24. § (1) bekezdés a) pont ad) alpontja szerint</w:t>
      </w:r>
    </w:p>
    <w:p w:rsidR="00890EC8" w:rsidRDefault="00890EC8" w:rsidP="00890EC8">
      <w:pPr>
        <w:widowControl w:val="0"/>
        <w:jc w:val="center"/>
        <w:rPr>
          <w:rFonts w:eastAsia="Lucida Sans Unicode"/>
          <w:b/>
          <w:spacing w:val="40"/>
          <w:szCs w:val="24"/>
        </w:rPr>
      </w:pPr>
    </w:p>
    <w:p w:rsidR="00890EC8" w:rsidRDefault="00890EC8" w:rsidP="00890EC8">
      <w:pPr>
        <w:widowControl w:val="0"/>
        <w:jc w:val="center"/>
        <w:rPr>
          <w:rFonts w:eastAsia="Lucida Sans Unicode"/>
          <w:b/>
          <w:spacing w:val="40"/>
          <w:szCs w:val="24"/>
        </w:rPr>
      </w:pPr>
      <w:r>
        <w:rPr>
          <w:rFonts w:eastAsia="Lucida Sans Unicode"/>
          <w:b/>
          <w:spacing w:val="40"/>
          <w:szCs w:val="24"/>
        </w:rPr>
        <w:t>nyilvános, többfordulós pályázatot ír ki</w:t>
      </w:r>
    </w:p>
    <w:p w:rsidR="00890EC8" w:rsidRDefault="00890EC8" w:rsidP="00890EC8">
      <w:pPr>
        <w:widowControl w:val="0"/>
        <w:jc w:val="center"/>
        <w:rPr>
          <w:rFonts w:eastAsia="Lucida Sans Unicode"/>
          <w:b/>
          <w:i/>
          <w:szCs w:val="24"/>
        </w:rPr>
      </w:pPr>
    </w:p>
    <w:p w:rsidR="00890EC8" w:rsidRDefault="00890EC8" w:rsidP="00890EC8">
      <w:pPr>
        <w:widowControl w:val="0"/>
        <w:jc w:val="both"/>
        <w:rPr>
          <w:rFonts w:eastAsia="Lucida Sans Unicode"/>
          <w:szCs w:val="24"/>
        </w:rPr>
      </w:pPr>
    </w:p>
    <w:p w:rsidR="00890EC8" w:rsidRDefault="00890EC8" w:rsidP="00890EC8">
      <w:pPr>
        <w:widowControl w:val="0"/>
        <w:jc w:val="both"/>
        <w:rPr>
          <w:rFonts w:eastAsia="Lucida Sans Unicode"/>
          <w:szCs w:val="24"/>
        </w:rPr>
      </w:pPr>
    </w:p>
    <w:p w:rsidR="00890EC8" w:rsidRDefault="00890EC8" w:rsidP="00890EC8">
      <w:pPr>
        <w:widowControl w:val="0"/>
        <w:jc w:val="center"/>
        <w:rPr>
          <w:rFonts w:eastAsia="Lucida Sans Unicode"/>
          <w:szCs w:val="24"/>
        </w:rPr>
      </w:pPr>
      <w:r>
        <w:rPr>
          <w:rFonts w:eastAsia="Lucida Sans Unicode"/>
          <w:szCs w:val="24"/>
        </w:rPr>
        <w:t>az alábbi, Kecskemét Megyei Jogú Város Önkormányzata tulajdonában lévő ingatlanok dologösszességként történő együttes értékesítésére:</w:t>
      </w:r>
    </w:p>
    <w:p w:rsidR="00890EC8" w:rsidRDefault="00890EC8" w:rsidP="00890EC8">
      <w:pPr>
        <w:widowControl w:val="0"/>
        <w:jc w:val="both"/>
        <w:rPr>
          <w:rFonts w:eastAsia="Lucida Sans Unicode"/>
          <w:szCs w:val="24"/>
        </w:rPr>
      </w:pPr>
    </w:p>
    <w:tbl>
      <w:tblPr>
        <w:tblW w:w="85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2016"/>
        <w:gridCol w:w="2015"/>
        <w:gridCol w:w="2423"/>
        <w:gridCol w:w="2111"/>
      </w:tblGrid>
      <w:tr w:rsidR="00890EC8" w:rsidTr="003C5F7E">
        <w:trPr>
          <w:trHeight w:val="934"/>
          <w:tblHeader/>
          <w:jc w:val="center"/>
        </w:trPr>
        <w:tc>
          <w:tcPr>
            <w:tcW w:w="2015" w:type="dxa"/>
            <w:tcBorders>
              <w:top w:val="single" w:sz="4" w:space="0" w:color="auto"/>
              <w:left w:val="single" w:sz="4" w:space="0" w:color="auto"/>
              <w:bottom w:val="single" w:sz="6" w:space="0" w:color="auto"/>
              <w:right w:val="single" w:sz="6" w:space="0" w:color="auto"/>
            </w:tcBorders>
            <w:vAlign w:val="center"/>
            <w:hideMark/>
          </w:tcPr>
          <w:p w:rsidR="00890EC8" w:rsidRDefault="00890EC8" w:rsidP="003C5F7E">
            <w:pPr>
              <w:widowControl w:val="0"/>
              <w:suppressLineNumbers/>
              <w:snapToGrid w:val="0"/>
              <w:spacing w:line="256" w:lineRule="auto"/>
              <w:ind w:left="-60"/>
              <w:jc w:val="center"/>
              <w:rPr>
                <w:rFonts w:eastAsia="Lucida Sans Unicode" w:cs="Times New Roman"/>
                <w:b/>
                <w:bCs/>
                <w:i/>
                <w:iCs/>
                <w:sz w:val="23"/>
                <w:szCs w:val="23"/>
              </w:rPr>
            </w:pPr>
            <w:bookmarkStart w:id="0" w:name="_Hlk42090255"/>
            <w:r>
              <w:rPr>
                <w:rFonts w:eastAsia="Lucida Sans Unicode" w:cs="Times New Roman"/>
                <w:b/>
                <w:bCs/>
                <w:i/>
                <w:iCs/>
                <w:sz w:val="23"/>
                <w:szCs w:val="23"/>
              </w:rPr>
              <w:t>Fekvése</w:t>
            </w:r>
          </w:p>
        </w:tc>
        <w:tc>
          <w:tcPr>
            <w:tcW w:w="2015" w:type="dxa"/>
            <w:tcBorders>
              <w:top w:val="single" w:sz="4" w:space="0" w:color="auto"/>
              <w:left w:val="single" w:sz="4" w:space="0" w:color="auto"/>
              <w:bottom w:val="single" w:sz="6" w:space="0" w:color="auto"/>
              <w:right w:val="single" w:sz="6" w:space="0" w:color="auto"/>
            </w:tcBorders>
            <w:vAlign w:val="center"/>
            <w:hideMark/>
          </w:tcPr>
          <w:p w:rsidR="00890EC8" w:rsidRDefault="00890EC8" w:rsidP="003C5F7E">
            <w:pPr>
              <w:widowControl w:val="0"/>
              <w:suppressLineNumbers/>
              <w:snapToGrid w:val="0"/>
              <w:spacing w:line="256" w:lineRule="auto"/>
              <w:jc w:val="center"/>
              <w:rPr>
                <w:rFonts w:eastAsia="Lucida Sans Unicode" w:cs="Times New Roman"/>
                <w:b/>
                <w:bCs/>
                <w:i/>
                <w:iCs/>
                <w:szCs w:val="24"/>
              </w:rPr>
            </w:pPr>
            <w:r>
              <w:rPr>
                <w:rFonts w:eastAsia="Lucida Sans Unicode" w:cs="Times New Roman"/>
                <w:b/>
                <w:bCs/>
                <w:i/>
                <w:iCs/>
                <w:szCs w:val="24"/>
              </w:rPr>
              <w:t>Hrsz</w:t>
            </w:r>
          </w:p>
        </w:tc>
        <w:tc>
          <w:tcPr>
            <w:tcW w:w="2422" w:type="dxa"/>
            <w:tcBorders>
              <w:top w:val="single" w:sz="4" w:space="0" w:color="auto"/>
              <w:left w:val="single" w:sz="6" w:space="0" w:color="auto"/>
              <w:bottom w:val="single" w:sz="6" w:space="0" w:color="auto"/>
              <w:right w:val="single" w:sz="6" w:space="0" w:color="auto"/>
            </w:tcBorders>
            <w:vAlign w:val="center"/>
            <w:hideMark/>
          </w:tcPr>
          <w:p w:rsidR="00890EC8" w:rsidRDefault="00890EC8" w:rsidP="003C5F7E">
            <w:pPr>
              <w:widowControl w:val="0"/>
              <w:suppressLineNumbers/>
              <w:snapToGrid w:val="0"/>
              <w:spacing w:line="256" w:lineRule="auto"/>
              <w:jc w:val="center"/>
              <w:rPr>
                <w:rFonts w:eastAsia="Lucida Sans Unicode" w:cs="Times New Roman"/>
                <w:b/>
                <w:bCs/>
                <w:i/>
                <w:iCs/>
                <w:szCs w:val="24"/>
              </w:rPr>
            </w:pPr>
            <w:r>
              <w:rPr>
                <w:rFonts w:eastAsia="Lucida Sans Unicode" w:cs="Times New Roman"/>
                <w:b/>
                <w:bCs/>
                <w:i/>
                <w:iCs/>
                <w:szCs w:val="24"/>
              </w:rPr>
              <w:t>Terület (m</w:t>
            </w:r>
            <w:r>
              <w:rPr>
                <w:rFonts w:eastAsia="Lucida Sans Unicode" w:cs="Times New Roman"/>
                <w:b/>
                <w:bCs/>
                <w:i/>
                <w:iCs/>
                <w:szCs w:val="24"/>
                <w:vertAlign w:val="superscript"/>
              </w:rPr>
              <w:t>2</w:t>
            </w:r>
            <w:r>
              <w:rPr>
                <w:rFonts w:eastAsia="Lucida Sans Unicode" w:cs="Times New Roman"/>
                <w:b/>
                <w:bCs/>
                <w:i/>
                <w:iCs/>
                <w:szCs w:val="24"/>
              </w:rPr>
              <w:t>)</w:t>
            </w:r>
          </w:p>
        </w:tc>
        <w:tc>
          <w:tcPr>
            <w:tcW w:w="2111" w:type="dxa"/>
            <w:tcBorders>
              <w:top w:val="single" w:sz="4" w:space="0" w:color="auto"/>
              <w:left w:val="single" w:sz="6" w:space="0" w:color="auto"/>
              <w:bottom w:val="single" w:sz="6" w:space="0" w:color="auto"/>
              <w:right w:val="single" w:sz="6" w:space="0" w:color="auto"/>
            </w:tcBorders>
            <w:vAlign w:val="center"/>
            <w:hideMark/>
          </w:tcPr>
          <w:p w:rsidR="00890EC8" w:rsidRDefault="00890EC8" w:rsidP="003C5F7E">
            <w:pPr>
              <w:widowControl w:val="0"/>
              <w:suppressLineNumbers/>
              <w:snapToGrid w:val="0"/>
              <w:spacing w:line="256" w:lineRule="auto"/>
              <w:jc w:val="center"/>
              <w:rPr>
                <w:rFonts w:eastAsia="Lucida Sans Unicode" w:cs="Times New Roman"/>
                <w:b/>
                <w:bCs/>
                <w:i/>
                <w:iCs/>
                <w:szCs w:val="24"/>
              </w:rPr>
            </w:pPr>
            <w:r>
              <w:rPr>
                <w:rFonts w:eastAsia="Lucida Sans Unicode" w:cs="Times New Roman"/>
                <w:b/>
                <w:bCs/>
                <w:i/>
                <w:iCs/>
                <w:szCs w:val="24"/>
              </w:rPr>
              <w:t>Megnevezés</w:t>
            </w:r>
          </w:p>
        </w:tc>
      </w:tr>
      <w:tr w:rsidR="00890EC8" w:rsidTr="003C5F7E">
        <w:trPr>
          <w:trHeight w:val="654"/>
          <w:jc w:val="center"/>
        </w:trPr>
        <w:tc>
          <w:tcPr>
            <w:tcW w:w="2015" w:type="dxa"/>
            <w:tcBorders>
              <w:top w:val="single" w:sz="6" w:space="0" w:color="auto"/>
              <w:left w:val="single" w:sz="4" w:space="0" w:color="auto"/>
              <w:bottom w:val="single" w:sz="4" w:space="0" w:color="auto"/>
              <w:right w:val="single" w:sz="6" w:space="0" w:color="auto"/>
            </w:tcBorders>
            <w:vAlign w:val="center"/>
            <w:hideMark/>
          </w:tcPr>
          <w:p w:rsidR="00890EC8" w:rsidRDefault="00890EC8" w:rsidP="003C5F7E">
            <w:pPr>
              <w:widowControl w:val="0"/>
              <w:snapToGrid w:val="0"/>
              <w:spacing w:line="256" w:lineRule="auto"/>
              <w:jc w:val="center"/>
              <w:rPr>
                <w:rFonts w:eastAsia="Times New Roman" w:cs="Times New Roman"/>
                <w:b/>
                <w:bCs/>
                <w:sz w:val="23"/>
                <w:szCs w:val="23"/>
              </w:rPr>
            </w:pPr>
            <w:r>
              <w:rPr>
                <w:rFonts w:eastAsia="Times New Roman" w:cs="Times New Roman"/>
                <w:b/>
                <w:bCs/>
                <w:sz w:val="23"/>
                <w:szCs w:val="23"/>
              </w:rPr>
              <w:t>Kecskemét</w:t>
            </w:r>
          </w:p>
        </w:tc>
        <w:tc>
          <w:tcPr>
            <w:tcW w:w="2015" w:type="dxa"/>
            <w:tcBorders>
              <w:top w:val="single" w:sz="6" w:space="0" w:color="auto"/>
              <w:left w:val="single" w:sz="4" w:space="0" w:color="auto"/>
              <w:bottom w:val="single" w:sz="4" w:space="0" w:color="auto"/>
              <w:right w:val="single" w:sz="6" w:space="0" w:color="auto"/>
            </w:tcBorders>
            <w:tcMar>
              <w:top w:w="0" w:type="dxa"/>
              <w:left w:w="70" w:type="dxa"/>
              <w:bottom w:w="0" w:type="dxa"/>
              <w:right w:w="70" w:type="dxa"/>
            </w:tcMar>
            <w:vAlign w:val="center"/>
            <w:hideMark/>
          </w:tcPr>
          <w:p w:rsidR="00890EC8" w:rsidRDefault="00890EC8" w:rsidP="003C5F7E">
            <w:pPr>
              <w:widowControl w:val="0"/>
              <w:snapToGrid w:val="0"/>
              <w:spacing w:line="256" w:lineRule="auto"/>
              <w:jc w:val="center"/>
              <w:rPr>
                <w:rFonts w:eastAsia="Times New Roman" w:cs="Times New Roman"/>
                <w:b/>
                <w:bCs/>
                <w:szCs w:val="24"/>
              </w:rPr>
            </w:pPr>
            <w:r>
              <w:rPr>
                <w:rFonts w:eastAsia="Times New Roman" w:cs="Times New Roman"/>
                <w:b/>
                <w:bCs/>
                <w:szCs w:val="24"/>
              </w:rPr>
              <w:t>8701/38</w:t>
            </w:r>
          </w:p>
          <w:p w:rsidR="00890EC8" w:rsidRDefault="00890EC8" w:rsidP="003C5F7E">
            <w:pPr>
              <w:widowControl w:val="0"/>
              <w:snapToGrid w:val="0"/>
              <w:spacing w:line="256" w:lineRule="auto"/>
              <w:jc w:val="center"/>
              <w:rPr>
                <w:rFonts w:eastAsia="Times New Roman" w:cs="Times New Roman"/>
                <w:b/>
                <w:bCs/>
                <w:szCs w:val="24"/>
              </w:rPr>
            </w:pPr>
            <w:r>
              <w:rPr>
                <w:rFonts w:eastAsia="Times New Roman" w:cs="Times New Roman"/>
                <w:b/>
                <w:bCs/>
                <w:szCs w:val="24"/>
              </w:rPr>
              <w:t>8701/39</w:t>
            </w:r>
          </w:p>
        </w:tc>
        <w:tc>
          <w:tcPr>
            <w:tcW w:w="2422" w:type="dxa"/>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vAlign w:val="center"/>
            <w:hideMark/>
          </w:tcPr>
          <w:p w:rsidR="00890EC8" w:rsidRDefault="00890EC8" w:rsidP="003C5F7E">
            <w:pPr>
              <w:widowControl w:val="0"/>
              <w:snapToGrid w:val="0"/>
              <w:spacing w:line="256" w:lineRule="auto"/>
              <w:jc w:val="center"/>
              <w:rPr>
                <w:rFonts w:eastAsia="Lucida Sans Unicode"/>
                <w:b/>
                <w:kern w:val="2"/>
                <w:szCs w:val="24"/>
                <w:lang w:eastAsia="hu-HU"/>
              </w:rPr>
            </w:pPr>
            <w:r>
              <w:rPr>
                <w:rFonts w:eastAsia="Lucida Sans Unicode"/>
                <w:b/>
                <w:kern w:val="2"/>
                <w:szCs w:val="24"/>
                <w:lang w:eastAsia="hu-HU"/>
              </w:rPr>
              <w:t>6856</w:t>
            </w:r>
          </w:p>
          <w:p w:rsidR="00890EC8" w:rsidRDefault="00890EC8" w:rsidP="003C5F7E">
            <w:pPr>
              <w:widowControl w:val="0"/>
              <w:snapToGrid w:val="0"/>
              <w:spacing w:line="256" w:lineRule="auto"/>
              <w:jc w:val="center"/>
              <w:rPr>
                <w:rFonts w:eastAsia="Times New Roman" w:cs="Times New Roman"/>
                <w:b/>
                <w:bCs/>
                <w:szCs w:val="24"/>
              </w:rPr>
            </w:pPr>
            <w:r>
              <w:rPr>
                <w:rFonts w:eastAsia="Times New Roman" w:cs="Times New Roman"/>
                <w:b/>
                <w:bCs/>
                <w:szCs w:val="24"/>
              </w:rPr>
              <w:t>6856</w:t>
            </w:r>
          </w:p>
        </w:tc>
        <w:tc>
          <w:tcPr>
            <w:tcW w:w="2111" w:type="dxa"/>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hideMark/>
          </w:tcPr>
          <w:p w:rsidR="00890EC8" w:rsidRDefault="00890EC8" w:rsidP="003C5F7E">
            <w:pPr>
              <w:widowControl w:val="0"/>
              <w:snapToGrid w:val="0"/>
              <w:spacing w:line="256" w:lineRule="auto"/>
              <w:jc w:val="center"/>
              <w:rPr>
                <w:rFonts w:eastAsia="Times New Roman" w:cs="Times New Roman"/>
                <w:b/>
                <w:bCs/>
                <w:szCs w:val="24"/>
              </w:rPr>
            </w:pPr>
            <w:r>
              <w:rPr>
                <w:rFonts w:eastAsia="Times New Roman" w:cs="Times New Roman"/>
                <w:b/>
                <w:bCs/>
                <w:szCs w:val="24"/>
              </w:rPr>
              <w:t>kivett beépítetlen terület</w:t>
            </w:r>
          </w:p>
          <w:p w:rsidR="00890EC8" w:rsidRDefault="00890EC8" w:rsidP="003C5F7E">
            <w:pPr>
              <w:widowControl w:val="0"/>
              <w:snapToGrid w:val="0"/>
              <w:spacing w:line="256" w:lineRule="auto"/>
              <w:jc w:val="center"/>
              <w:rPr>
                <w:rFonts w:eastAsia="Times New Roman" w:cs="Times New Roman"/>
                <w:b/>
                <w:bCs/>
                <w:szCs w:val="24"/>
              </w:rPr>
            </w:pPr>
            <w:r>
              <w:rPr>
                <w:rFonts w:eastAsia="Times New Roman" w:cs="Times New Roman"/>
                <w:b/>
                <w:bCs/>
                <w:szCs w:val="24"/>
              </w:rPr>
              <w:t>kivett beépítetlen terület</w:t>
            </w:r>
          </w:p>
        </w:tc>
      </w:tr>
      <w:bookmarkEnd w:id="0"/>
    </w:tbl>
    <w:p w:rsidR="00890EC8" w:rsidRDefault="00890EC8" w:rsidP="00890EC8">
      <w:pPr>
        <w:widowControl w:val="0"/>
        <w:jc w:val="both"/>
        <w:rPr>
          <w:rFonts w:eastAsia="Times New Roman"/>
          <w:szCs w:val="24"/>
        </w:rPr>
      </w:pPr>
    </w:p>
    <w:p w:rsidR="00890EC8" w:rsidRDefault="00890EC8" w:rsidP="00890EC8">
      <w:pPr>
        <w:widowControl w:val="0"/>
        <w:jc w:val="both"/>
        <w:rPr>
          <w:rFonts w:eastAsia="Times New Roman" w:cs="Times New Roman"/>
          <w:szCs w:val="24"/>
        </w:rPr>
      </w:pPr>
    </w:p>
    <w:p w:rsidR="00890EC8" w:rsidRDefault="00890EC8" w:rsidP="00890EC8">
      <w:pPr>
        <w:widowControl w:val="0"/>
        <w:ind w:right="-1"/>
        <w:jc w:val="both"/>
        <w:rPr>
          <w:rFonts w:eastAsia="Lucida Sans Unicode"/>
          <w:b/>
          <w:bCs/>
          <w:szCs w:val="24"/>
          <w:lang w:eastAsia="hu-HU"/>
        </w:rPr>
      </w:pPr>
      <w:bookmarkStart w:id="1" w:name="_Hlk42090322"/>
      <w:r>
        <w:rPr>
          <w:rFonts w:eastAsia="Lucida Sans Unicode"/>
          <w:b/>
          <w:bCs/>
          <w:szCs w:val="24"/>
          <w:lang w:eastAsia="hu-HU"/>
        </w:rPr>
        <w:t xml:space="preserve">A minimális értékesítési ár mindösszesen: nettó 109.763.780,-Ft + ÁFA, azaz bruttó 139.400.000,- Ft. </w:t>
      </w:r>
    </w:p>
    <w:bookmarkEnd w:id="1"/>
    <w:p w:rsidR="00890EC8" w:rsidRDefault="00890EC8" w:rsidP="00890EC8">
      <w:pPr>
        <w:widowControl w:val="0"/>
        <w:ind w:right="-1"/>
        <w:jc w:val="both"/>
        <w:rPr>
          <w:rFonts w:eastAsia="Lucida Sans Unicode"/>
          <w:szCs w:val="24"/>
        </w:rPr>
      </w:pPr>
    </w:p>
    <w:p w:rsidR="00890EC8" w:rsidRDefault="00890EC8" w:rsidP="00890EC8">
      <w:pPr>
        <w:widowControl w:val="0"/>
        <w:spacing w:before="120" w:after="120" w:line="276" w:lineRule="auto"/>
        <w:jc w:val="both"/>
        <w:rPr>
          <w:rFonts w:eastAsia="Lucida Sans Unicode"/>
          <w:szCs w:val="24"/>
        </w:rPr>
      </w:pPr>
      <w:r>
        <w:rPr>
          <w:rFonts w:eastAsia="Lucida Sans Unicode"/>
          <w:kern w:val="3"/>
          <w:szCs w:val="24"/>
          <w:lang w:eastAsia="hu-HU"/>
        </w:rPr>
        <w:t>Kecskemét Megyei Jogú Város Önkormányzata Közgyűlésének Kecskemét Megyei Jogú Város Helyi Építési Szabályzatáról szóló 33/2015. (XII.17.) önkormányzati rendelete mellékletét képező Szabályozási Terv alapján az ingatlanok egyezően</w:t>
      </w:r>
      <w:r>
        <w:rPr>
          <w:rFonts w:eastAsia="Lucida Sans Unicode"/>
          <w:kern w:val="2"/>
          <w:szCs w:val="24"/>
          <w:lang w:eastAsia="hu-HU"/>
        </w:rPr>
        <w:t xml:space="preserve"> </w:t>
      </w:r>
      <w:r>
        <w:rPr>
          <w:rFonts w:eastAsia="Lucida Sans Unicode"/>
          <w:szCs w:val="24"/>
        </w:rPr>
        <w:t>„Gksz-8149” kereskedelmi szolgáltató gazdasági terület építési övezetben találhatóak, szabadonálló beépítési módúak, ahol a legkisebb kialakítható telek nagysága 3000 m</w:t>
      </w:r>
      <w:r>
        <w:rPr>
          <w:rFonts w:eastAsia="Lucida Sans Unicode"/>
          <w:szCs w:val="24"/>
          <w:vertAlign w:val="superscript"/>
        </w:rPr>
        <w:t>2</w:t>
      </w:r>
      <w:r>
        <w:rPr>
          <w:rFonts w:eastAsia="Lucida Sans Unicode"/>
          <w:szCs w:val="24"/>
        </w:rPr>
        <w:t xml:space="preserve">, a beépíthetőség mértéke 40 %, a maximális elhelyezhető épületmagasság 12,5 m. </w:t>
      </w:r>
    </w:p>
    <w:p w:rsidR="00890EC8" w:rsidRDefault="00890EC8" w:rsidP="00890EC8">
      <w:pPr>
        <w:widowControl w:val="0"/>
        <w:tabs>
          <w:tab w:val="left" w:pos="747"/>
        </w:tabs>
        <w:jc w:val="both"/>
        <w:rPr>
          <w:rFonts w:eastAsia="Lucida Sans Unicode"/>
          <w:szCs w:val="24"/>
        </w:rPr>
      </w:pPr>
      <w:r>
        <w:rPr>
          <w:rFonts w:eastAsia="Lucida Sans Unicode"/>
          <w:szCs w:val="24"/>
        </w:rPr>
        <w:t xml:space="preserve">Az ingatlanok hasznosításának, beépítésének részletes szabályairól, előírásairól Kecskemét Megyei Jogú Város Polgármesteri Hivatal Várostervezési Osztálya (Kecskemét, Kossuth tér 1.) ad részletes és bővebb felvilágosítást. </w:t>
      </w:r>
    </w:p>
    <w:p w:rsidR="00890EC8" w:rsidRDefault="00890EC8" w:rsidP="00890EC8">
      <w:pPr>
        <w:widowControl w:val="0"/>
        <w:jc w:val="both"/>
        <w:rPr>
          <w:rFonts w:eastAsia="Lucida Sans Unicode"/>
          <w:szCs w:val="24"/>
        </w:rPr>
      </w:pPr>
    </w:p>
    <w:p w:rsidR="00890EC8" w:rsidRDefault="00890EC8" w:rsidP="00890EC8">
      <w:pPr>
        <w:widowControl w:val="0"/>
        <w:jc w:val="both"/>
        <w:rPr>
          <w:rFonts w:eastAsia="Lucida Sans Unicode" w:cs="Times New Roman"/>
          <w:szCs w:val="24"/>
        </w:rPr>
      </w:pPr>
      <w:r>
        <w:rPr>
          <w:rFonts w:eastAsia="Lucida Sans Unicode" w:cs="Times New Roman"/>
          <w:szCs w:val="24"/>
        </w:rPr>
        <w:t xml:space="preserve">Az ingatlanok az ipari célú hasznosításhoz szükséges kiépített útkapcsolattal, valamint közművesítettséggel nem rendelkeznek, ezek megterveztetése és kiépíttetése a nyertes pályázó feladata és költsége. A nyertes pályázó az útkapcsolat és közművesítés tervezése és megvalósítása során mindvégig Kecskemét Megyei Jogú Város Polgármesteri Hivatala illetékes szervezeti egységeivel egyeztetve (melybe beletartozik előzetes tanulmányterv készíttetése és leegyeztetése is) köteles eljárni.  </w:t>
      </w:r>
    </w:p>
    <w:p w:rsidR="00890EC8" w:rsidRDefault="00890EC8" w:rsidP="00890EC8">
      <w:pPr>
        <w:jc w:val="both"/>
      </w:pPr>
    </w:p>
    <w:p w:rsidR="00890EC8" w:rsidRDefault="00890EC8" w:rsidP="00890EC8">
      <w:pPr>
        <w:pStyle w:val="Style1"/>
        <w:spacing w:before="0"/>
        <w:jc w:val="both"/>
        <w:rPr>
          <w:rFonts w:ascii="Times New Roman" w:eastAsia="Lucida Sans Unicode" w:hAnsi="Times New Roman" w:cs="Times New Roman"/>
          <w:bCs/>
          <w:sz w:val="24"/>
          <w:szCs w:val="24"/>
          <w:lang w:val="hu-HU"/>
        </w:rPr>
      </w:pPr>
      <w:r>
        <w:rPr>
          <w:rFonts w:ascii="Times New Roman" w:eastAsia="Lucida Sans Unicode" w:hAnsi="Times New Roman" w:cs="Times New Roman"/>
          <w:bCs/>
          <w:sz w:val="24"/>
          <w:szCs w:val="24"/>
          <w:lang w:val="hu-HU"/>
        </w:rPr>
        <w:t xml:space="preserve">A nemzeti vagyonról szóló 2011. évi CXCVI. törvény (a továbbiakban: Nvtv.) 14. § (2) és (5) </w:t>
      </w:r>
      <w:r>
        <w:rPr>
          <w:rFonts w:ascii="Times New Roman" w:eastAsia="Lucida Sans Unicode" w:hAnsi="Times New Roman" w:cs="Times New Roman"/>
          <w:bCs/>
          <w:sz w:val="24"/>
          <w:szCs w:val="24"/>
          <w:lang w:val="hu-HU"/>
        </w:rPr>
        <w:lastRenderedPageBreak/>
        <w:t>bekezdésében foglaltak értelmében a helyi önkormányzat tulajdonában lévő ingatlan értékesítése esetén – a (3) – (4) bekezdésben foglalt kivétellel- az államot minden más jogosultat megelőző elővásárlási jog illeti meg. Az Nvtv. 14. § (5) bekezdése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 hogy kíván-e élni az elővásárlási jogával az állam nevében. Az adásvételi szerződés érvényességi feltétele az elővásárlási jog gyakorlójának nemleges nyilatkozata, vagy a 35 napos nyilatkozattételi határidő eredménytelen letelte.</w:t>
      </w:r>
    </w:p>
    <w:p w:rsidR="00890EC8" w:rsidRDefault="00890EC8" w:rsidP="00890EC8">
      <w:pPr>
        <w:jc w:val="both"/>
      </w:pPr>
    </w:p>
    <w:p w:rsidR="00890EC8" w:rsidRDefault="00890EC8" w:rsidP="00890EC8">
      <w:pPr>
        <w:jc w:val="both"/>
        <w:rPr>
          <w:kern w:val="2"/>
        </w:rPr>
      </w:pPr>
      <w:r>
        <w:rPr>
          <w:kern w:val="2"/>
        </w:rPr>
        <w:t xml:space="preserve">Pályázatot nyújthat be </w:t>
      </w:r>
      <w:r>
        <w:rPr>
          <w:b/>
          <w:kern w:val="2"/>
        </w:rPr>
        <w:t>természetes személy</w:t>
      </w:r>
      <w:r>
        <w:rPr>
          <w:kern w:val="2"/>
        </w:rPr>
        <w:t xml:space="preserve"> </w:t>
      </w:r>
      <w:r>
        <w:rPr>
          <w:b/>
          <w:kern w:val="2"/>
        </w:rPr>
        <w:t>és az Nvtv. 3. § (1) bekezdés 1. pontja szerinti átlátható szervezet</w:t>
      </w:r>
      <w:r>
        <w:rPr>
          <w:kern w:val="2"/>
        </w:rPr>
        <w:t xml:space="preserve"> (a továbbiakban együtt: pályázó).</w:t>
      </w:r>
    </w:p>
    <w:p w:rsidR="00890EC8" w:rsidRDefault="00890EC8" w:rsidP="00890EC8">
      <w:pPr>
        <w:jc w:val="both"/>
        <w:rPr>
          <w:kern w:val="2"/>
        </w:rPr>
      </w:pPr>
    </w:p>
    <w:p w:rsidR="00890EC8" w:rsidRDefault="00890EC8" w:rsidP="00890EC8">
      <w:pPr>
        <w:ind w:right="-1"/>
        <w:jc w:val="both"/>
        <w:rPr>
          <w:b/>
          <w:u w:val="single"/>
        </w:rPr>
      </w:pPr>
    </w:p>
    <w:p w:rsidR="00890EC8" w:rsidRDefault="00890EC8" w:rsidP="00890EC8">
      <w:pPr>
        <w:ind w:right="-1"/>
        <w:jc w:val="both"/>
        <w:rPr>
          <w:b/>
          <w:u w:val="single"/>
        </w:rPr>
      </w:pPr>
      <w:r>
        <w:rPr>
          <w:b/>
          <w:u w:val="single"/>
        </w:rPr>
        <w:t>Az ajánlat benyújtásának helye, ideje, módja:</w:t>
      </w:r>
    </w:p>
    <w:p w:rsidR="00890EC8" w:rsidRDefault="00890EC8" w:rsidP="00890EC8">
      <w:pPr>
        <w:jc w:val="both"/>
        <w:rPr>
          <w:u w:val="single"/>
        </w:rPr>
      </w:pPr>
    </w:p>
    <w:p w:rsidR="00890EC8" w:rsidRDefault="00890EC8" w:rsidP="00890EC8">
      <w:pPr>
        <w:jc w:val="both"/>
        <w:rPr>
          <w:u w:val="single"/>
        </w:rPr>
      </w:pPr>
      <w:r>
        <w:rPr>
          <w:u w:val="single"/>
        </w:rPr>
        <w:t>Az ajánlatok benyújtásának helye:</w:t>
      </w:r>
    </w:p>
    <w:p w:rsidR="00890EC8" w:rsidRDefault="00890EC8" w:rsidP="00890EC8">
      <w:pPr>
        <w:jc w:val="both"/>
      </w:pPr>
    </w:p>
    <w:p w:rsidR="00890EC8" w:rsidRPr="0013070E" w:rsidRDefault="00890EC8" w:rsidP="00890EC8">
      <w:pPr>
        <w:jc w:val="both"/>
        <w:rPr>
          <w:rFonts w:cs="Times New Roman"/>
          <w:szCs w:val="24"/>
        </w:rPr>
      </w:pPr>
      <w:r w:rsidRPr="0013070E">
        <w:rPr>
          <w:rFonts w:cs="Times New Roman"/>
          <w:szCs w:val="24"/>
        </w:rPr>
        <w:t>Kecskemét Megyei Jogú Város Polgármesteri Hivatala (6000 Kecskemét, Kossuth tér 1.), Nagytemplom felőli ügyfélszolgálati iroda (volt Tourinform Iroda).</w:t>
      </w:r>
    </w:p>
    <w:p w:rsidR="00890EC8" w:rsidRDefault="00890EC8" w:rsidP="00890EC8">
      <w:pPr>
        <w:jc w:val="both"/>
        <w:rPr>
          <w:u w:val="single"/>
        </w:rPr>
      </w:pPr>
    </w:p>
    <w:p w:rsidR="00890EC8" w:rsidRDefault="00890EC8" w:rsidP="00890EC8">
      <w:pPr>
        <w:jc w:val="both"/>
        <w:rPr>
          <w:u w:val="single"/>
        </w:rPr>
      </w:pPr>
      <w:bookmarkStart w:id="2" w:name="_Hlk43191266"/>
      <w:r>
        <w:rPr>
          <w:u w:val="single"/>
        </w:rPr>
        <w:t>Az ajánlatok benyújtásának ideje:</w:t>
      </w:r>
    </w:p>
    <w:p w:rsidR="00890EC8" w:rsidRDefault="00890EC8" w:rsidP="00890EC8">
      <w:pPr>
        <w:jc w:val="both"/>
      </w:pPr>
    </w:p>
    <w:p w:rsidR="00890EC8" w:rsidRDefault="00890EC8" w:rsidP="00890EC8">
      <w:pPr>
        <w:jc w:val="both"/>
      </w:pPr>
      <w:r>
        <w:t xml:space="preserve">Az ajánlatokat legkésőbb </w:t>
      </w:r>
      <w:r>
        <w:rPr>
          <w:b/>
          <w:bCs/>
          <w:iCs/>
        </w:rPr>
        <w:t>2020. augusztus 10. napján 10 óráig</w:t>
      </w:r>
      <w:r>
        <w:rPr>
          <w:b/>
          <w:bCs/>
          <w:i/>
          <w:iCs/>
        </w:rPr>
        <w:t xml:space="preserve"> </w:t>
      </w:r>
      <w:r>
        <w:t xml:space="preserve">kell benyújtani. </w:t>
      </w:r>
    </w:p>
    <w:bookmarkEnd w:id="2"/>
    <w:p w:rsidR="00890EC8" w:rsidRDefault="00890EC8" w:rsidP="00890EC8">
      <w:pPr>
        <w:jc w:val="both"/>
      </w:pPr>
    </w:p>
    <w:p w:rsidR="00890EC8" w:rsidRDefault="00890EC8" w:rsidP="00890EC8">
      <w:pPr>
        <w:jc w:val="both"/>
        <w:rPr>
          <w:u w:val="single"/>
        </w:rPr>
      </w:pPr>
      <w:r>
        <w:rPr>
          <w:u w:val="single"/>
        </w:rPr>
        <w:t>Az ajánlatok benyújtásának módja:</w:t>
      </w:r>
    </w:p>
    <w:p w:rsidR="00890EC8" w:rsidRDefault="00890EC8" w:rsidP="00890EC8">
      <w:pPr>
        <w:jc w:val="both"/>
      </w:pPr>
    </w:p>
    <w:p w:rsidR="00890EC8" w:rsidRDefault="00890EC8" w:rsidP="00890EC8">
      <w:pPr>
        <w:jc w:val="both"/>
      </w:pPr>
      <w:bookmarkStart w:id="3" w:name="_Hlk43193604"/>
      <w:r>
        <w:t xml:space="preserve">Az ajánlatokat érvényesen benyújtani kizárólag személyesen, zárt borítékban </w:t>
      </w:r>
      <w:r>
        <w:rPr>
          <w:b/>
        </w:rPr>
        <w:t>„Kecskemét, 8701/38, 8701/39 hrsz-ú ingatlanok” jeligével</w:t>
      </w:r>
      <w:r>
        <w:t xml:space="preserve"> lehet. A borítékon fel kell tüntetni az ajánlattevő nevét, címét.</w:t>
      </w:r>
    </w:p>
    <w:bookmarkEnd w:id="3"/>
    <w:p w:rsidR="00890EC8" w:rsidRDefault="00890EC8" w:rsidP="00890EC8">
      <w:pPr>
        <w:pStyle w:val="Szvegtrzs21"/>
        <w:ind w:left="0"/>
        <w:rPr>
          <w:rFonts w:eastAsia="Times New Roman"/>
          <w:color w:val="000080"/>
          <w:u w:val="single"/>
        </w:rPr>
      </w:pPr>
    </w:p>
    <w:p w:rsidR="00890EC8" w:rsidRDefault="00890EC8" w:rsidP="00890EC8">
      <w:pPr>
        <w:pStyle w:val="Szvegtrzs21"/>
        <w:ind w:left="0"/>
        <w:rPr>
          <w:rFonts w:eastAsia="Times New Roman"/>
          <w:color w:val="auto"/>
        </w:rPr>
      </w:pPr>
      <w:r>
        <w:rPr>
          <w:rFonts w:eastAsia="Times New Roman"/>
          <w:color w:val="auto"/>
        </w:rPr>
        <w:t>A pályázat kiírója a hiánypótlásra lehetőséget biztosít.</w:t>
      </w:r>
    </w:p>
    <w:p w:rsidR="00890EC8" w:rsidRDefault="00890EC8" w:rsidP="00890EC8">
      <w:pPr>
        <w:pStyle w:val="Szvegtrzs21"/>
        <w:ind w:left="0"/>
        <w:rPr>
          <w:rFonts w:eastAsia="Times New Roman"/>
          <w:color w:val="000080"/>
          <w:u w:val="single"/>
        </w:rPr>
      </w:pPr>
    </w:p>
    <w:p w:rsidR="00890EC8" w:rsidRDefault="00890EC8" w:rsidP="00890EC8">
      <w:pPr>
        <w:pStyle w:val="Szvegtrzs21"/>
        <w:ind w:left="0"/>
        <w:rPr>
          <w:rFonts w:eastAsia="Times New Roman"/>
          <w:b/>
          <w:color w:val="auto"/>
        </w:rPr>
      </w:pPr>
      <w:r>
        <w:rPr>
          <w:rFonts w:eastAsia="Times New Roman"/>
          <w:b/>
          <w:color w:val="auto"/>
        </w:rPr>
        <w:t>Az ajánlatokat 1 eredeti és 2 másolati példányban kell benyújtani. Az ajánlat eredeti példányát olyan módon kell összefűzni, hogy ahhoz iratot sérülésmentesen hozzá ne lehessen csatolni, vagy abból eltávolítani.</w:t>
      </w:r>
    </w:p>
    <w:p w:rsidR="00890EC8" w:rsidRDefault="00890EC8" w:rsidP="00890EC8">
      <w:pPr>
        <w:pStyle w:val="Szvegtrzs21"/>
        <w:ind w:left="0"/>
        <w:rPr>
          <w:rFonts w:eastAsia="Times New Roman"/>
          <w:color w:val="auto"/>
        </w:rPr>
      </w:pPr>
    </w:p>
    <w:p w:rsidR="00890EC8" w:rsidRDefault="00890EC8" w:rsidP="00890EC8">
      <w:pPr>
        <w:widowControl w:val="0"/>
        <w:jc w:val="both"/>
        <w:rPr>
          <w:rFonts w:eastAsia="Lucida Sans Unicode"/>
          <w:szCs w:val="24"/>
        </w:rPr>
      </w:pPr>
      <w:r>
        <w:rPr>
          <w:rFonts w:eastAsia="Lucida Sans Unicode"/>
          <w:szCs w:val="24"/>
        </w:rPr>
        <w:t xml:space="preserve">A pályázóknak ajánlatuk benyújtásával egyidejűleg </w:t>
      </w:r>
      <w:r>
        <w:rPr>
          <w:rFonts w:eastAsia="Lucida Sans Unicode"/>
          <w:b/>
          <w:bCs/>
          <w:szCs w:val="24"/>
        </w:rPr>
        <w:t>7.000.000,- Ft</w:t>
      </w:r>
      <w:r>
        <w:rPr>
          <w:rFonts w:eastAsia="Lucida Sans Unicode"/>
          <w:szCs w:val="24"/>
        </w:rPr>
        <w:t xml:space="preserve"> összegű óvadékot kell megfizetniük az önkormányzat OTP Bank Nyrt-nél vezetett 11732002-15337544 számú bankszámlájára, mely az adásvételi szerződésben foglalóként kerül kikötésre. </w:t>
      </w:r>
    </w:p>
    <w:p w:rsidR="00890EC8" w:rsidRDefault="00890EC8" w:rsidP="00890EC8">
      <w:pPr>
        <w:widowControl w:val="0"/>
        <w:jc w:val="both"/>
        <w:rPr>
          <w:rFonts w:eastAsia="Lucida Sans Unicode"/>
          <w:szCs w:val="24"/>
        </w:rPr>
      </w:pPr>
    </w:p>
    <w:p w:rsidR="00890EC8" w:rsidRDefault="00890EC8" w:rsidP="00890EC8">
      <w:pPr>
        <w:pStyle w:val="Szvegtrzs21"/>
        <w:ind w:left="0"/>
        <w:rPr>
          <w:rFonts w:eastAsia="Times New Roman"/>
          <w:color w:val="auto"/>
        </w:rPr>
      </w:pPr>
      <w:r>
        <w:rPr>
          <w:rFonts w:eastAsia="Times New Roman"/>
          <w:color w:val="auto"/>
        </w:rPr>
        <w:t>Az ajánlatokat magyar nyelven lehet benyújtani, az idegen nyelvű dokumentumot a kiíró nem veszi figyelembe.</w:t>
      </w:r>
    </w:p>
    <w:p w:rsidR="00890EC8" w:rsidRDefault="00890EC8" w:rsidP="00890EC8">
      <w:pPr>
        <w:pStyle w:val="Szvegtrzs21"/>
        <w:ind w:left="0"/>
        <w:rPr>
          <w:rFonts w:eastAsia="Times New Roman"/>
          <w:color w:val="auto"/>
        </w:rPr>
      </w:pPr>
    </w:p>
    <w:p w:rsidR="00890EC8" w:rsidRDefault="00890EC8" w:rsidP="00890EC8">
      <w:pPr>
        <w:jc w:val="both"/>
      </w:pPr>
      <w:r>
        <w:t xml:space="preserve">A nyertes pályázóval (pályázókkal) az ajánlati kötöttség időtartamán belül </w:t>
      </w:r>
      <w:r>
        <w:rPr>
          <w:b/>
        </w:rPr>
        <w:t>az önkormányzat</w:t>
      </w:r>
      <w:r>
        <w:t xml:space="preserve"> </w:t>
      </w:r>
      <w:r>
        <w:rPr>
          <w:b/>
        </w:rPr>
        <w:t>adásvételi szerződést köt.</w:t>
      </w:r>
    </w:p>
    <w:p w:rsidR="00890EC8" w:rsidRDefault="00890EC8" w:rsidP="00890EC8">
      <w:pPr>
        <w:jc w:val="both"/>
        <w:rPr>
          <w:u w:val="single"/>
        </w:rPr>
      </w:pPr>
    </w:p>
    <w:p w:rsidR="00890EC8" w:rsidRDefault="00890EC8" w:rsidP="00890EC8">
      <w:pPr>
        <w:pStyle w:val="Szvegtrzs21"/>
        <w:ind w:left="0"/>
        <w:rPr>
          <w:rFonts w:eastAsia="Times New Roman"/>
          <w:color w:val="auto"/>
        </w:rPr>
      </w:pPr>
      <w:r>
        <w:rPr>
          <w:rFonts w:eastAsia="Times New Roman"/>
          <w:color w:val="auto"/>
        </w:rPr>
        <w:t>Az ajánlati kötöttség minimális időtartama: az ajánlatok bontását követő 90 nap.</w:t>
      </w:r>
    </w:p>
    <w:p w:rsidR="00890EC8" w:rsidRDefault="00890EC8" w:rsidP="00890EC8">
      <w:pPr>
        <w:jc w:val="both"/>
        <w:rPr>
          <w:b/>
        </w:rPr>
      </w:pPr>
    </w:p>
    <w:p w:rsidR="00890EC8" w:rsidRDefault="00890EC8" w:rsidP="00890EC8">
      <w:pPr>
        <w:jc w:val="both"/>
        <w:rPr>
          <w:b/>
        </w:rPr>
      </w:pPr>
    </w:p>
    <w:p w:rsidR="00890EC8" w:rsidRDefault="00890EC8" w:rsidP="00890EC8">
      <w:pPr>
        <w:jc w:val="both"/>
        <w:rPr>
          <w:b/>
          <w:u w:val="single"/>
        </w:rPr>
      </w:pPr>
      <w:r>
        <w:rPr>
          <w:b/>
          <w:u w:val="single"/>
        </w:rPr>
        <w:t>Az ajánlatnak tartalmaznia kell:</w:t>
      </w:r>
    </w:p>
    <w:p w:rsidR="00890EC8" w:rsidRDefault="00890EC8" w:rsidP="00890EC8">
      <w:pPr>
        <w:jc w:val="both"/>
        <w:rPr>
          <w:b/>
        </w:rPr>
      </w:pPr>
    </w:p>
    <w:p w:rsidR="00890EC8" w:rsidRDefault="00890EC8" w:rsidP="00890EC8">
      <w:pPr>
        <w:widowControl w:val="0"/>
        <w:numPr>
          <w:ilvl w:val="0"/>
          <w:numId w:val="1"/>
        </w:numPr>
        <w:spacing w:before="60" w:after="60"/>
        <w:ind w:left="357" w:hanging="357"/>
        <w:jc w:val="both"/>
        <w:rPr>
          <w:szCs w:val="24"/>
        </w:rPr>
      </w:pPr>
      <w:r>
        <w:rPr>
          <w:szCs w:val="24"/>
        </w:rPr>
        <w:t xml:space="preserve">A pályázó szerződéskötéshez szükséges azonosító adatait: </w:t>
      </w:r>
    </w:p>
    <w:p w:rsidR="00890EC8" w:rsidRDefault="00890EC8" w:rsidP="00890EC8">
      <w:pPr>
        <w:pStyle w:val="Listaszerbekezds"/>
        <w:widowControl w:val="0"/>
        <w:numPr>
          <w:ilvl w:val="0"/>
          <w:numId w:val="2"/>
        </w:numPr>
        <w:overflowPunct/>
        <w:autoSpaceDE/>
        <w:autoSpaceDN w:val="0"/>
        <w:spacing w:before="60" w:after="60"/>
        <w:jc w:val="both"/>
        <w:textAlignment w:val="auto"/>
        <w:rPr>
          <w:sz w:val="24"/>
          <w:szCs w:val="24"/>
        </w:rPr>
      </w:pPr>
      <w:r>
        <w:rPr>
          <w:sz w:val="24"/>
          <w:szCs w:val="24"/>
        </w:rPr>
        <w:t xml:space="preserve">természetes személy esetén nevét, születési nevét, születési helyét és idejét, anyja születési nevét, lakcímét, adóazonosító jelét, </w:t>
      </w:r>
    </w:p>
    <w:p w:rsidR="00890EC8" w:rsidRDefault="00890EC8" w:rsidP="00890EC8">
      <w:pPr>
        <w:pStyle w:val="Listaszerbekezds"/>
        <w:widowControl w:val="0"/>
        <w:numPr>
          <w:ilvl w:val="0"/>
          <w:numId w:val="2"/>
        </w:numPr>
        <w:overflowPunct/>
        <w:autoSpaceDE/>
        <w:autoSpaceDN w:val="0"/>
        <w:spacing w:before="60" w:after="60"/>
        <w:jc w:val="both"/>
        <w:textAlignment w:val="auto"/>
        <w:rPr>
          <w:sz w:val="24"/>
          <w:szCs w:val="24"/>
        </w:rPr>
      </w:pPr>
      <w:r>
        <w:rPr>
          <w:sz w:val="24"/>
          <w:szCs w:val="24"/>
        </w:rPr>
        <w:t xml:space="preserve">átlátható szervezet esetén nevét, székhelyét, adószámát, cégjegyzékszámát vagy nyilvántartási számát, statisztikai azonosítóját, képviselőjének nevét, </w:t>
      </w:r>
    </w:p>
    <w:p w:rsidR="00890EC8" w:rsidRDefault="00890EC8" w:rsidP="00890EC8">
      <w:pPr>
        <w:pStyle w:val="Listaszerbekezds"/>
        <w:widowControl w:val="0"/>
        <w:numPr>
          <w:ilvl w:val="0"/>
          <w:numId w:val="2"/>
        </w:numPr>
        <w:overflowPunct/>
        <w:autoSpaceDE/>
        <w:autoSpaceDN w:val="0"/>
        <w:spacing w:before="60" w:after="60"/>
        <w:jc w:val="both"/>
        <w:textAlignment w:val="auto"/>
        <w:rPr>
          <w:sz w:val="24"/>
          <w:szCs w:val="24"/>
        </w:rPr>
      </w:pPr>
      <w:r>
        <w:rPr>
          <w:sz w:val="24"/>
          <w:szCs w:val="24"/>
        </w:rPr>
        <w:t>jogi személy esetén 30 napnál nem régebbi hiteles kivonatot cégnyilvántartásba, egyéb nyilvántartásba bejegyzett adatairól vagy annak hitelesített másolatát, valamint képviselőjének aláírási címpéldányát vagy aláírás mintáját vagy azok hitelesített másolatát;</w:t>
      </w:r>
    </w:p>
    <w:p w:rsidR="00890EC8" w:rsidRDefault="00890EC8" w:rsidP="00890EC8">
      <w:pPr>
        <w:pStyle w:val="Listaszerbekezds"/>
        <w:numPr>
          <w:ilvl w:val="0"/>
          <w:numId w:val="3"/>
        </w:numPr>
        <w:overflowPunct/>
        <w:autoSpaceDE/>
        <w:autoSpaceDN w:val="0"/>
        <w:spacing w:before="60" w:after="60"/>
        <w:ind w:left="357" w:hanging="357"/>
        <w:jc w:val="both"/>
        <w:textAlignment w:val="auto"/>
        <w:rPr>
          <w:sz w:val="24"/>
          <w:szCs w:val="24"/>
        </w:rPr>
      </w:pPr>
      <w:r>
        <w:rPr>
          <w:sz w:val="24"/>
          <w:szCs w:val="24"/>
        </w:rPr>
        <w:t xml:space="preserve">Átlátható szervezet esetén cégszerűen aláírt okiratba foglalt nyilatkozatot az Nvtv. 3. § (2) bekezdése szerint az (1) bekezdés 1. pont </w:t>
      </w:r>
      <w:r>
        <w:rPr>
          <w:i/>
          <w:iCs/>
          <w:sz w:val="24"/>
          <w:szCs w:val="24"/>
        </w:rPr>
        <w:t>b)</w:t>
      </w:r>
      <w:r>
        <w:rPr>
          <w:sz w:val="24"/>
          <w:szCs w:val="24"/>
        </w:rPr>
        <w:t xml:space="preserve"> vagy </w:t>
      </w:r>
      <w:r>
        <w:rPr>
          <w:i/>
          <w:iCs/>
          <w:sz w:val="24"/>
          <w:szCs w:val="24"/>
        </w:rPr>
        <w:t>c)</w:t>
      </w:r>
      <w:r>
        <w:rPr>
          <w:sz w:val="24"/>
          <w:szCs w:val="24"/>
        </w:rPr>
        <w:t xml:space="preserve"> alpontjában foglalt feltételeknek való megfelelésről;</w:t>
      </w:r>
    </w:p>
    <w:p w:rsidR="00890EC8" w:rsidRDefault="00890EC8" w:rsidP="00890EC8">
      <w:pPr>
        <w:widowControl w:val="0"/>
        <w:numPr>
          <w:ilvl w:val="0"/>
          <w:numId w:val="4"/>
        </w:numPr>
        <w:tabs>
          <w:tab w:val="left" w:pos="360"/>
        </w:tabs>
        <w:spacing w:before="60" w:after="60"/>
        <w:jc w:val="both"/>
      </w:pPr>
      <w:r>
        <w:rPr>
          <w:szCs w:val="24"/>
        </w:rPr>
        <w:t>A pályázó árajánlatát;</w:t>
      </w:r>
    </w:p>
    <w:p w:rsidR="00890EC8" w:rsidRDefault="00890EC8" w:rsidP="00890EC8">
      <w:pPr>
        <w:widowControl w:val="0"/>
        <w:numPr>
          <w:ilvl w:val="0"/>
          <w:numId w:val="4"/>
        </w:numPr>
        <w:tabs>
          <w:tab w:val="left" w:pos="360"/>
        </w:tabs>
        <w:spacing w:before="60" w:after="60"/>
        <w:jc w:val="both"/>
      </w:pPr>
      <w:r>
        <w:t>A pályázó nyilatkozatát arra vonatkozóan, hogy az ajánlattételi határidőt követő 90. napig ajánlati kötöttséget vállal;</w:t>
      </w:r>
    </w:p>
    <w:p w:rsidR="00890EC8" w:rsidRDefault="00890EC8" w:rsidP="00890EC8">
      <w:pPr>
        <w:widowControl w:val="0"/>
        <w:numPr>
          <w:ilvl w:val="0"/>
          <w:numId w:val="4"/>
        </w:numPr>
        <w:tabs>
          <w:tab w:val="left" w:pos="360"/>
        </w:tabs>
        <w:spacing w:before="60" w:after="60"/>
        <w:jc w:val="both"/>
      </w:pPr>
      <w:r>
        <w:t xml:space="preserve">A pályázó nyilatkozatát arról, hogy a pályázati feltételeket elfogadja; </w:t>
      </w:r>
    </w:p>
    <w:p w:rsidR="00890EC8" w:rsidRDefault="00890EC8" w:rsidP="00890EC8">
      <w:pPr>
        <w:numPr>
          <w:ilvl w:val="0"/>
          <w:numId w:val="4"/>
        </w:numPr>
        <w:spacing w:before="60" w:after="60" w:line="200" w:lineRule="atLeast"/>
        <w:jc w:val="both"/>
        <w:rPr>
          <w:rFonts w:eastAsia="Times New Roman" w:cs="Times New Roman"/>
          <w:color w:val="000000"/>
          <w:szCs w:val="24"/>
        </w:rPr>
      </w:pPr>
      <w:r>
        <w:rPr>
          <w:rFonts w:eastAsia="Times New Roman" w:cs="Times New Roman"/>
          <w:color w:val="000000"/>
          <w:szCs w:val="24"/>
        </w:rPr>
        <w:t xml:space="preserve">A pályázó koncepcióját </w:t>
      </w:r>
      <w:r>
        <w:rPr>
          <w:rFonts w:eastAsia="Times New Roman" w:cs="Times New Roman"/>
          <w:i/>
          <w:iCs/>
          <w:color w:val="000000"/>
          <w:szCs w:val="24"/>
        </w:rPr>
        <w:t>(1-2 oldalban összefoglalva)</w:t>
      </w:r>
      <w:r>
        <w:rPr>
          <w:rFonts w:eastAsia="Times New Roman" w:cs="Times New Roman"/>
          <w:color w:val="000000"/>
          <w:szCs w:val="24"/>
        </w:rPr>
        <w:t xml:space="preserve"> az ingatlanokon tervezett beruházásról;</w:t>
      </w:r>
    </w:p>
    <w:p w:rsidR="00890EC8" w:rsidRDefault="00890EC8" w:rsidP="00890EC8">
      <w:pPr>
        <w:widowControl w:val="0"/>
        <w:numPr>
          <w:ilvl w:val="0"/>
          <w:numId w:val="4"/>
        </w:numPr>
        <w:tabs>
          <w:tab w:val="left" w:pos="360"/>
        </w:tabs>
        <w:spacing w:before="60" w:after="60"/>
        <w:jc w:val="both"/>
      </w:pPr>
      <w:r>
        <w:t>A pályázó nyilatkozatát arról, hogy az ingatlanokon tervezett tevékenységhez szükséges útkapcsolat és közművesítés megterveztetését és kiépíttetését saját költségén, Kecskemét Megyei Jogú Város Polgármesteri Hivatala illetékes szervezeti egységeivel leegyeztetett módon vállalja;</w:t>
      </w:r>
    </w:p>
    <w:p w:rsidR="00890EC8" w:rsidRDefault="00890EC8" w:rsidP="00890EC8">
      <w:pPr>
        <w:widowControl w:val="0"/>
        <w:numPr>
          <w:ilvl w:val="0"/>
          <w:numId w:val="4"/>
        </w:numPr>
        <w:tabs>
          <w:tab w:val="left" w:pos="360"/>
        </w:tabs>
        <w:spacing w:before="120" w:after="120" w:line="276" w:lineRule="auto"/>
        <w:jc w:val="both"/>
        <w:rPr>
          <w:szCs w:val="24"/>
        </w:rPr>
      </w:pPr>
      <w:r>
        <w:rPr>
          <w:szCs w:val="24"/>
        </w:rPr>
        <w:t>Az óvadék megfizetését igazoló pénzintézeti bizonylat másolatát;</w:t>
      </w:r>
    </w:p>
    <w:p w:rsidR="00890EC8" w:rsidRDefault="00890EC8" w:rsidP="00890EC8">
      <w:pPr>
        <w:pStyle w:val="Style2"/>
        <w:numPr>
          <w:ilvl w:val="0"/>
          <w:numId w:val="4"/>
        </w:numPr>
        <w:adjustRightInd/>
        <w:spacing w:before="60" w:after="60"/>
        <w:jc w:val="both"/>
        <w:rPr>
          <w:sz w:val="24"/>
          <w:szCs w:val="24"/>
          <w:lang w:val="hu-HU"/>
        </w:rPr>
      </w:pPr>
      <w:r>
        <w:rPr>
          <w:sz w:val="24"/>
          <w:szCs w:val="24"/>
          <w:lang w:val="hu-HU"/>
        </w:rPr>
        <w:t>A pályázó nyilatkozatát arról, hogy a személyes adatai kezeléséhez a pályázat elbírálásához szükséges mértékben hozzájárul.</w:t>
      </w:r>
    </w:p>
    <w:p w:rsidR="00890EC8" w:rsidRDefault="00890EC8" w:rsidP="00890EC8">
      <w:pPr>
        <w:jc w:val="both"/>
      </w:pPr>
    </w:p>
    <w:p w:rsidR="00890EC8" w:rsidRDefault="00890EC8" w:rsidP="00890EC8">
      <w:pPr>
        <w:jc w:val="both"/>
        <w:rPr>
          <w:kern w:val="2"/>
        </w:rPr>
      </w:pPr>
      <w:r>
        <w:t>A Vagyonrendelet 24. § (4) bekezdése szerint többfordulós pályázat esetén az első fordulóban érvényes írásbeli ajánlatot benyújtó pályázókat tárgyalásra kell meghívni a második, és szükség szerint a tárgyalások eredményétől függően versenyben maradtakat a további fordulókra. A pályázók a tárgyalások során ajánlatukat csak az önkormányzat számára kedvezőbb feltételekkel módosíthatják, és a pályázat elbírálására a tárgyalások befejezésével kerül sor.</w:t>
      </w:r>
    </w:p>
    <w:p w:rsidR="00890EC8" w:rsidRDefault="00890EC8" w:rsidP="00890EC8">
      <w:pPr>
        <w:jc w:val="both"/>
      </w:pPr>
    </w:p>
    <w:p w:rsidR="00890EC8" w:rsidRDefault="00890EC8" w:rsidP="00890EC8">
      <w:pPr>
        <w:jc w:val="both"/>
        <w:rPr>
          <w:kern w:val="2"/>
        </w:rPr>
      </w:pPr>
      <w:r>
        <w:t>A Vagyonrendelet 24. § (4) bekezdése szerint többfordulós pályázat esetén az első fordulóban érvényes írásbeli ajánlatot benyújtó pályázókat tárgyalásra kell meghívni a második, és szükség szerint a tárgyalások eredményétől függően versenyben maradtakat a további fordulókra. A pályázók a tárgyalások során ajánlatukat csak az önkormányzat számára kedvezőbb feltételekkel módosíthatják, és a pályázat elbírálására a tárgyalások befejezésével kerül sor.</w:t>
      </w:r>
    </w:p>
    <w:p w:rsidR="00890EC8" w:rsidRDefault="00890EC8" w:rsidP="00890EC8">
      <w:pPr>
        <w:jc w:val="both"/>
        <w:rPr>
          <w:kern w:val="2"/>
        </w:rPr>
      </w:pPr>
    </w:p>
    <w:p w:rsidR="00890EC8" w:rsidRDefault="00890EC8" w:rsidP="00890EC8">
      <w:pPr>
        <w:pStyle w:val="Szvegtrzs"/>
        <w:tabs>
          <w:tab w:val="left" w:pos="360"/>
          <w:tab w:val="left" w:pos="795"/>
        </w:tabs>
        <w:spacing w:after="0"/>
        <w:rPr>
          <w:b/>
          <w:u w:val="single"/>
        </w:rPr>
      </w:pPr>
      <w:r>
        <w:rPr>
          <w:b/>
          <w:u w:val="single"/>
        </w:rPr>
        <w:t>A pályázat eredménytelenné nyilvánítása:</w:t>
      </w:r>
    </w:p>
    <w:p w:rsidR="00890EC8" w:rsidRDefault="00890EC8" w:rsidP="00890EC8">
      <w:pPr>
        <w:pStyle w:val="Szvegtrzs"/>
        <w:tabs>
          <w:tab w:val="left" w:pos="360"/>
          <w:tab w:val="left" w:pos="795"/>
        </w:tabs>
        <w:spacing w:after="0"/>
        <w:rPr>
          <w:b/>
        </w:rPr>
      </w:pPr>
    </w:p>
    <w:p w:rsidR="00890EC8" w:rsidRDefault="00890EC8" w:rsidP="00890EC8">
      <w:pPr>
        <w:pStyle w:val="Szvegtrzs"/>
        <w:spacing w:after="0"/>
        <w:jc w:val="both"/>
      </w:pPr>
      <w:r>
        <w:t xml:space="preserve">A kiíró </w:t>
      </w:r>
      <w:r>
        <w:rPr>
          <w:bCs/>
          <w:kern w:val="2"/>
        </w:rPr>
        <w:t>a Vagyon</w:t>
      </w:r>
      <w:r>
        <w:t>rendelet 28. § (2) bekezdése szerint fenntartja a jogot a pályázat indokolás nélküli eredménytelenné nyilvánítására.</w:t>
      </w:r>
    </w:p>
    <w:p w:rsidR="00890EC8" w:rsidRDefault="00890EC8" w:rsidP="00890EC8">
      <w:pPr>
        <w:pStyle w:val="Szvegtrzs"/>
        <w:spacing w:after="0"/>
        <w:jc w:val="both"/>
      </w:pPr>
    </w:p>
    <w:p w:rsidR="00890EC8" w:rsidRDefault="00890EC8" w:rsidP="00890EC8">
      <w:pPr>
        <w:pStyle w:val="Szvegtrzs"/>
        <w:tabs>
          <w:tab w:val="left" w:pos="360"/>
          <w:tab w:val="left" w:pos="795"/>
        </w:tabs>
        <w:spacing w:after="0"/>
        <w:jc w:val="both"/>
        <w:rPr>
          <w:b/>
          <w:u w:val="single"/>
        </w:rPr>
      </w:pPr>
      <w:r>
        <w:rPr>
          <w:b/>
          <w:u w:val="single"/>
        </w:rPr>
        <w:t>Az ajánlatok felbontásának helye, ideje, módja:</w:t>
      </w:r>
    </w:p>
    <w:p w:rsidR="00890EC8" w:rsidRDefault="00890EC8" w:rsidP="00890EC8">
      <w:pPr>
        <w:pStyle w:val="Szvegtrzs"/>
        <w:tabs>
          <w:tab w:val="left" w:pos="360"/>
          <w:tab w:val="left" w:pos="795"/>
        </w:tabs>
        <w:spacing w:after="0"/>
        <w:jc w:val="both"/>
        <w:rPr>
          <w:b/>
        </w:rPr>
      </w:pPr>
    </w:p>
    <w:p w:rsidR="00890EC8" w:rsidRDefault="00890EC8" w:rsidP="00890EC8">
      <w:pPr>
        <w:jc w:val="both"/>
        <w:rPr>
          <w:u w:val="single"/>
        </w:rPr>
      </w:pPr>
      <w:r>
        <w:rPr>
          <w:u w:val="single"/>
        </w:rPr>
        <w:t>Az ajánlatok felbontásának helye:</w:t>
      </w:r>
    </w:p>
    <w:p w:rsidR="00890EC8" w:rsidRPr="0013070E" w:rsidRDefault="00890EC8" w:rsidP="00890EC8">
      <w:pPr>
        <w:jc w:val="both"/>
        <w:rPr>
          <w:rFonts w:cs="Times New Roman"/>
          <w:szCs w:val="24"/>
        </w:rPr>
      </w:pPr>
      <w:bookmarkStart w:id="4" w:name="_Hlk42091428"/>
      <w:r w:rsidRPr="0013070E">
        <w:rPr>
          <w:rFonts w:cs="Times New Roman"/>
          <w:szCs w:val="24"/>
        </w:rPr>
        <w:t>Kecskemét Megyei Jogú Város Polgármesteri Hivatala (6000 Kecskemét, Kossuth tér 1.), Nagytemplom felőli ügyfélszolgálati iroda (volt Tourinform Iroda).</w:t>
      </w:r>
    </w:p>
    <w:bookmarkEnd w:id="4"/>
    <w:p w:rsidR="00890EC8" w:rsidRDefault="00890EC8" w:rsidP="00890EC8">
      <w:pPr>
        <w:jc w:val="both"/>
      </w:pPr>
    </w:p>
    <w:p w:rsidR="00890EC8" w:rsidRDefault="00890EC8" w:rsidP="00890EC8">
      <w:pPr>
        <w:jc w:val="both"/>
        <w:rPr>
          <w:u w:val="single"/>
        </w:rPr>
      </w:pPr>
      <w:r>
        <w:rPr>
          <w:u w:val="single"/>
        </w:rPr>
        <w:t>Az ajánlatok felbontásának ideje:</w:t>
      </w:r>
    </w:p>
    <w:p w:rsidR="00890EC8" w:rsidRDefault="00890EC8" w:rsidP="00890EC8">
      <w:pPr>
        <w:jc w:val="both"/>
      </w:pPr>
      <w:r>
        <w:t xml:space="preserve">A pályázatok bontására </w:t>
      </w:r>
      <w:r>
        <w:rPr>
          <w:b/>
          <w:bCs/>
          <w:iCs/>
        </w:rPr>
        <w:t>2020. augusztus 10. napján 10 órakor</w:t>
      </w:r>
      <w:r>
        <w:t xml:space="preserve"> kerül sor.</w:t>
      </w:r>
    </w:p>
    <w:p w:rsidR="00890EC8" w:rsidRDefault="00890EC8" w:rsidP="00890EC8">
      <w:pPr>
        <w:pStyle w:val="Szvegtrzs"/>
        <w:spacing w:after="0"/>
        <w:jc w:val="both"/>
      </w:pPr>
    </w:p>
    <w:p w:rsidR="00890EC8" w:rsidRDefault="00890EC8" w:rsidP="00890EC8">
      <w:pPr>
        <w:jc w:val="both"/>
        <w:rPr>
          <w:u w:val="single"/>
        </w:rPr>
      </w:pPr>
      <w:r>
        <w:rPr>
          <w:u w:val="single"/>
        </w:rPr>
        <w:t>Az ajánlatok felbontásának módja:</w:t>
      </w:r>
    </w:p>
    <w:p w:rsidR="00890EC8" w:rsidRDefault="00890EC8" w:rsidP="00890EC8">
      <w:pPr>
        <w:jc w:val="both"/>
      </w:pPr>
      <w:r>
        <w:t>Az ajánlatok bontása nyilvános, amelyre a pályázókat a kiíró ezúton hívja meg.</w:t>
      </w:r>
    </w:p>
    <w:p w:rsidR="00890EC8" w:rsidRDefault="00890EC8" w:rsidP="00890EC8">
      <w:pPr>
        <w:jc w:val="both"/>
      </w:pPr>
    </w:p>
    <w:p w:rsidR="00890EC8" w:rsidRDefault="00890EC8" w:rsidP="00890EC8">
      <w:pPr>
        <w:jc w:val="both"/>
        <w:rPr>
          <w:b/>
        </w:rPr>
      </w:pPr>
      <w:r>
        <w:rPr>
          <w:b/>
        </w:rPr>
        <w:t>A pályázat és az ajánlatok elbírálása:</w:t>
      </w:r>
    </w:p>
    <w:p w:rsidR="00890EC8" w:rsidRDefault="00890EC8" w:rsidP="00890EC8">
      <w:pPr>
        <w:jc w:val="both"/>
        <w:rPr>
          <w:b/>
        </w:rPr>
      </w:pPr>
    </w:p>
    <w:p w:rsidR="00890EC8" w:rsidRDefault="00890EC8" w:rsidP="00890EC8">
      <w:pPr>
        <w:pStyle w:val="Szvegtrzs"/>
        <w:spacing w:after="0"/>
        <w:jc w:val="both"/>
        <w:rPr>
          <w:u w:val="single"/>
        </w:rPr>
      </w:pPr>
      <w:r>
        <w:rPr>
          <w:u w:val="single"/>
        </w:rPr>
        <w:t>Az elbírálás ideje:</w:t>
      </w:r>
    </w:p>
    <w:p w:rsidR="00890EC8" w:rsidRDefault="00890EC8" w:rsidP="00890EC8">
      <w:pPr>
        <w:pStyle w:val="Szvegtrzs"/>
        <w:spacing w:after="0"/>
        <w:jc w:val="both"/>
      </w:pPr>
      <w:r>
        <w:t>A pályázat elbírálására Kecskemét Megyei Jogú Város Közgyűlése az ajánlati kötöttség időtartamán belüli – 90 nap – rendes ülésén kerül sor.</w:t>
      </w:r>
    </w:p>
    <w:p w:rsidR="00890EC8" w:rsidRDefault="00890EC8" w:rsidP="00890EC8">
      <w:pPr>
        <w:pStyle w:val="Szvegtrzs"/>
        <w:spacing w:after="0"/>
        <w:jc w:val="both"/>
      </w:pPr>
    </w:p>
    <w:p w:rsidR="00890EC8" w:rsidRDefault="00890EC8" w:rsidP="00890EC8">
      <w:pPr>
        <w:pStyle w:val="Szvegtrzs"/>
        <w:spacing w:after="0"/>
        <w:jc w:val="both"/>
        <w:rPr>
          <w:u w:val="single"/>
        </w:rPr>
      </w:pPr>
      <w:r>
        <w:rPr>
          <w:u w:val="single"/>
        </w:rPr>
        <w:t>Az elbírálásra jogosult:</w:t>
      </w:r>
    </w:p>
    <w:p w:rsidR="00890EC8" w:rsidRDefault="00890EC8" w:rsidP="00890EC8">
      <w:pPr>
        <w:jc w:val="both"/>
      </w:pPr>
      <w:r>
        <w:t>A pályázat eredményességéről, vagy eredménytelenségéről, a benyújtott ajánlatok érvényességéről, az ajánlatok sorrendjéről, elbírálásáról Kecskemét Megyei Jogú Város Közgyűlése</w:t>
      </w:r>
      <w:r>
        <w:rPr>
          <w:b/>
        </w:rPr>
        <w:t xml:space="preserve"> </w:t>
      </w:r>
      <w:r>
        <w:t xml:space="preserve">Városstratégiai és Pénzügyi Bizottság véleményének figyelembevételével Kecskemét Megyei Jogú Város Közgyűlése dönt.   </w:t>
      </w:r>
    </w:p>
    <w:p w:rsidR="00890EC8" w:rsidRDefault="00890EC8" w:rsidP="00890EC8">
      <w:pPr>
        <w:pStyle w:val="Szvegtrzs"/>
        <w:spacing w:after="0"/>
        <w:jc w:val="both"/>
      </w:pPr>
    </w:p>
    <w:p w:rsidR="00890EC8" w:rsidRDefault="00890EC8" w:rsidP="00890EC8">
      <w:pPr>
        <w:pStyle w:val="Szvegtrzs"/>
        <w:spacing w:after="0"/>
        <w:jc w:val="both"/>
      </w:pPr>
      <w:r>
        <w:t xml:space="preserve">A közgyűlés az Nvtv. 11. § (16) bekezdésében foglaltak figyelembevételével a benyújtott ajánlatokat az összességében legelőnyösebb ajánlat szempontja szerint értékeli a szolgáltatás és ellenszolgáltatás értékarányosságára tekintettel. </w:t>
      </w:r>
    </w:p>
    <w:p w:rsidR="00890EC8" w:rsidRDefault="00890EC8" w:rsidP="00890EC8">
      <w:pPr>
        <w:pStyle w:val="Szvegtrzs"/>
        <w:spacing w:after="0"/>
        <w:jc w:val="both"/>
        <w:rPr>
          <w:rFonts w:ascii="Calibri" w:hAnsi="Calibri"/>
        </w:rPr>
      </w:pPr>
    </w:p>
    <w:p w:rsidR="00890EC8" w:rsidRDefault="00890EC8" w:rsidP="00890EC8">
      <w:pPr>
        <w:pStyle w:val="Szvegtrzs"/>
        <w:tabs>
          <w:tab w:val="left" w:pos="360"/>
          <w:tab w:val="left" w:pos="795"/>
        </w:tabs>
        <w:spacing w:after="0"/>
        <w:jc w:val="both"/>
        <w:rPr>
          <w:b/>
        </w:rPr>
      </w:pPr>
      <w:r>
        <w:rPr>
          <w:b/>
        </w:rPr>
        <w:t>Az eredményhirdetés módja:</w:t>
      </w:r>
    </w:p>
    <w:p w:rsidR="00890EC8" w:rsidRDefault="00890EC8" w:rsidP="00890EC8">
      <w:pPr>
        <w:jc w:val="both"/>
      </w:pPr>
      <w:r>
        <w:t>A pályázókat a döntést követően írásban értesítjük az elbírálás eredményéről.</w:t>
      </w:r>
    </w:p>
    <w:p w:rsidR="00890EC8" w:rsidRDefault="00890EC8" w:rsidP="00890EC8">
      <w:pPr>
        <w:pStyle w:val="Szvegtrzs"/>
        <w:tabs>
          <w:tab w:val="left" w:pos="360"/>
          <w:tab w:val="left" w:pos="795"/>
        </w:tabs>
        <w:spacing w:after="0"/>
        <w:jc w:val="both"/>
        <w:rPr>
          <w:b/>
        </w:rPr>
      </w:pPr>
    </w:p>
    <w:p w:rsidR="00890EC8" w:rsidRDefault="00890EC8" w:rsidP="00890EC8">
      <w:pPr>
        <w:pStyle w:val="Szvegtrzs"/>
        <w:tabs>
          <w:tab w:val="left" w:pos="360"/>
          <w:tab w:val="left" w:pos="795"/>
        </w:tabs>
        <w:spacing w:after="0"/>
        <w:jc w:val="both"/>
        <w:rPr>
          <w:b/>
        </w:rPr>
      </w:pPr>
      <w:r>
        <w:rPr>
          <w:b/>
        </w:rPr>
        <w:t>A szerződés megkötésének helye és időpontja:</w:t>
      </w:r>
    </w:p>
    <w:p w:rsidR="00890EC8" w:rsidRDefault="00890EC8" w:rsidP="00890EC8">
      <w:pPr>
        <w:pStyle w:val="Szvegtrzs"/>
        <w:spacing w:after="0"/>
        <w:jc w:val="both"/>
        <w:rPr>
          <w:u w:val="single"/>
        </w:rPr>
      </w:pPr>
      <w:r>
        <w:rPr>
          <w:u w:val="single"/>
        </w:rPr>
        <w:t>A szerződéskötés helye:</w:t>
      </w:r>
    </w:p>
    <w:p w:rsidR="00890EC8" w:rsidRPr="0013070E" w:rsidRDefault="00890EC8" w:rsidP="00890EC8">
      <w:pPr>
        <w:jc w:val="both"/>
        <w:rPr>
          <w:rFonts w:cs="Times New Roman"/>
          <w:szCs w:val="24"/>
        </w:rPr>
      </w:pPr>
      <w:r w:rsidRPr="0013070E">
        <w:rPr>
          <w:rFonts w:cs="Times New Roman"/>
          <w:szCs w:val="24"/>
        </w:rPr>
        <w:t>Kecskemét Megyei Jogú Város Polgármesteri Hivatala (6000 Kecskemét, Kossuth tér 1.), Nagytemplom felőli ügyfélszolgálati iroda (volt Tourinform Iroda).</w:t>
      </w:r>
    </w:p>
    <w:p w:rsidR="00890EC8" w:rsidRDefault="00890EC8" w:rsidP="00890EC8">
      <w:pPr>
        <w:jc w:val="both"/>
      </w:pPr>
    </w:p>
    <w:p w:rsidR="00890EC8" w:rsidRDefault="00890EC8" w:rsidP="00890EC8">
      <w:pPr>
        <w:pStyle w:val="Szvegtrzs"/>
        <w:spacing w:after="0"/>
        <w:jc w:val="both"/>
        <w:rPr>
          <w:u w:val="single"/>
        </w:rPr>
      </w:pPr>
      <w:r>
        <w:rPr>
          <w:u w:val="single"/>
        </w:rPr>
        <w:t>A szerződéskötés időpontja:</w:t>
      </w:r>
    </w:p>
    <w:p w:rsidR="00890EC8" w:rsidRDefault="00890EC8" w:rsidP="00890EC8">
      <w:pPr>
        <w:pStyle w:val="Szvegtrzs"/>
        <w:spacing w:after="0"/>
        <w:jc w:val="both"/>
        <w:rPr>
          <w:bCs/>
          <w:kern w:val="2"/>
        </w:rPr>
      </w:pPr>
      <w:r>
        <w:rPr>
          <w:bCs/>
          <w:kern w:val="2"/>
        </w:rPr>
        <w:t>A nyertes pályázót az elbírálásról szóló levélben tájékoztatjuk az adásvételi szerződés megkötésének időpontjáról.</w:t>
      </w:r>
    </w:p>
    <w:p w:rsidR="00890EC8" w:rsidRDefault="00890EC8" w:rsidP="00890EC8">
      <w:pPr>
        <w:pStyle w:val="Szvegtrzs"/>
        <w:spacing w:after="0"/>
        <w:jc w:val="both"/>
        <w:rPr>
          <w:bCs/>
          <w:kern w:val="2"/>
        </w:rPr>
      </w:pPr>
    </w:p>
    <w:p w:rsidR="00890EC8" w:rsidRDefault="00890EC8" w:rsidP="00890EC8">
      <w:pPr>
        <w:pStyle w:val="Szvegtrzs"/>
        <w:spacing w:after="0"/>
        <w:jc w:val="both"/>
        <w:rPr>
          <w:bCs/>
          <w:kern w:val="2"/>
        </w:rPr>
      </w:pPr>
      <w:r>
        <w:rPr>
          <w:bCs/>
          <w:kern w:val="2"/>
        </w:rPr>
        <w:t>A jelen pályázati felhívásban nem szabályozott kérdésekben az Nvtv-ben, valamint a Vagyonrendeletben foglaltak irányadóak.</w:t>
      </w:r>
    </w:p>
    <w:p w:rsidR="00ED4188" w:rsidRDefault="00ED4188"/>
    <w:sectPr w:rsidR="00ED4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Yu Gothic"/>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AE76997"/>
    <w:multiLevelType w:val="hybridMultilevel"/>
    <w:tmpl w:val="187C974C"/>
    <w:lvl w:ilvl="0" w:tplc="1982DC1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0C1283"/>
    <w:multiLevelType w:val="hybridMultilevel"/>
    <w:tmpl w:val="D6DC5C04"/>
    <w:lvl w:ilvl="0" w:tplc="F2D0A82A">
      <w:numFmt w:val="bullet"/>
      <w:lvlText w:val="-"/>
      <w:lvlJc w:val="left"/>
      <w:pPr>
        <w:tabs>
          <w:tab w:val="num" w:pos="284"/>
        </w:tabs>
        <w:ind w:left="0" w:firstLine="0"/>
      </w:pPr>
      <w:rPr>
        <w:rFonts w:ascii="Symbol" w:hAnsi="Symbol" w:cs="Symbol" w:hint="default"/>
        <w:snapToGrid/>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736E13"/>
    <w:multiLevelType w:val="hybridMultilevel"/>
    <w:tmpl w:val="3732F12E"/>
    <w:lvl w:ilvl="0" w:tplc="040E0017">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C8"/>
    <w:rsid w:val="007A4DCA"/>
    <w:rsid w:val="00890EC8"/>
    <w:rsid w:val="00ED41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4E95"/>
  <w15:chartTrackingRefBased/>
  <w15:docId w15:val="{FACF184C-1357-44FF-8B13-B2935E4F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90EC8"/>
    <w:pPr>
      <w:suppressAutoHyphens/>
      <w:spacing w:after="0" w:line="240" w:lineRule="auto"/>
    </w:pPr>
    <w:rPr>
      <w:rFonts w:ascii="Times New Roman" w:eastAsia="Calibri" w:hAnsi="Times New Roman" w:cs="Calibri"/>
      <w:sz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890EC8"/>
    <w:pPr>
      <w:spacing w:after="120"/>
    </w:pPr>
    <w:rPr>
      <w:rFonts w:cs="Times New Roman"/>
    </w:rPr>
  </w:style>
  <w:style w:type="character" w:customStyle="1" w:styleId="SzvegtrzsChar">
    <w:name w:val="Szövegtörzs Char"/>
    <w:basedOn w:val="Bekezdsalapbettpusa"/>
    <w:link w:val="Szvegtrzs"/>
    <w:rsid w:val="00890EC8"/>
    <w:rPr>
      <w:rFonts w:ascii="Times New Roman" w:eastAsia="Calibri" w:hAnsi="Times New Roman" w:cs="Times New Roman"/>
      <w:sz w:val="24"/>
      <w:lang w:eastAsia="ar-SA"/>
    </w:rPr>
  </w:style>
  <w:style w:type="paragraph" w:customStyle="1" w:styleId="Style1">
    <w:name w:val="Style 1"/>
    <w:uiPriority w:val="99"/>
    <w:rsid w:val="00890EC8"/>
    <w:pPr>
      <w:widowControl w:val="0"/>
      <w:autoSpaceDE w:val="0"/>
      <w:autoSpaceDN w:val="0"/>
      <w:spacing w:before="252" w:after="0" w:line="240" w:lineRule="auto"/>
    </w:pPr>
    <w:rPr>
      <w:rFonts w:ascii="Arial" w:eastAsia="Times New Roman" w:hAnsi="Arial" w:cs="Arial"/>
      <w:lang w:val="en-US" w:eastAsia="hu-HU"/>
    </w:rPr>
  </w:style>
  <w:style w:type="paragraph" w:customStyle="1" w:styleId="Style2">
    <w:name w:val="Style 2"/>
    <w:uiPriority w:val="99"/>
    <w:rsid w:val="00890E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hu-HU"/>
    </w:rPr>
  </w:style>
  <w:style w:type="paragraph" w:styleId="Listaszerbekezds">
    <w:name w:val="List Paragraph"/>
    <w:basedOn w:val="Norml"/>
    <w:qFormat/>
    <w:rsid w:val="00890EC8"/>
    <w:pPr>
      <w:overflowPunct w:val="0"/>
      <w:autoSpaceDE w:val="0"/>
      <w:ind w:left="708"/>
      <w:textAlignment w:val="baseline"/>
    </w:pPr>
    <w:rPr>
      <w:rFonts w:eastAsia="Times New Roman" w:cs="Times New Roman"/>
      <w:sz w:val="20"/>
      <w:szCs w:val="20"/>
    </w:rPr>
  </w:style>
  <w:style w:type="paragraph" w:customStyle="1" w:styleId="Szvegtrzs21">
    <w:name w:val="Szövegtörzs 21"/>
    <w:basedOn w:val="Norml"/>
    <w:rsid w:val="00890EC8"/>
    <w:pPr>
      <w:widowControl w:val="0"/>
      <w:ind w:left="708"/>
      <w:jc w:val="both"/>
    </w:pPr>
    <w:rPr>
      <w:rFonts w:eastAsia="Lucida Sans Unicode"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7982</Characters>
  <Application>Microsoft Office Word</Application>
  <DocSecurity>0</DocSecurity>
  <Lines>66</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Petényi-Berki Brigitta</dc:creator>
  <cp:keywords/>
  <dc:description/>
  <cp:lastModifiedBy>Dr. Petényi-Berki Brigitta</cp:lastModifiedBy>
  <cp:revision>2</cp:revision>
  <dcterms:created xsi:type="dcterms:W3CDTF">2020-07-01T13:45:00Z</dcterms:created>
  <dcterms:modified xsi:type="dcterms:W3CDTF">2020-07-07T07:20:00Z</dcterms:modified>
</cp:coreProperties>
</file>